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E32D25" w14:paraId="77BB2B53" w14:textId="77777777" w:rsidTr="00E32D25">
        <w:trPr>
          <w:tblCellSpacing w:w="0" w:type="dxa"/>
          <w:jc w:val="center"/>
        </w:trPr>
        <w:tc>
          <w:tcPr>
            <w:tcW w:w="0" w:type="auto"/>
            <w:shd w:val="clear" w:color="auto" w:fill="FFFFFF"/>
            <w:tcMar>
              <w:top w:w="0" w:type="dxa"/>
              <w:left w:w="0" w:type="dxa"/>
              <w:bottom w:w="150" w:type="dxa"/>
              <w:right w:w="0" w:type="dxa"/>
            </w:tcMar>
            <w:vAlign w:val="center"/>
            <w:hideMark/>
          </w:tcPr>
          <w:p w14:paraId="57D73FE5" w14:textId="484941FA" w:rsidR="00E32D25" w:rsidRDefault="00E32D25">
            <w:pPr>
              <w:rPr>
                <w:rFonts w:eastAsia="Times New Roman"/>
              </w:rPr>
            </w:pPr>
            <w:r>
              <w:rPr>
                <w:rFonts w:eastAsia="Times New Roman"/>
                <w:noProof/>
              </w:rPr>
              <w:drawing>
                <wp:inline distT="0" distB="0" distL="0" distR="0" wp14:anchorId="351AB7E9" wp14:editId="4EEF2AC9">
                  <wp:extent cx="5715000" cy="1666875"/>
                  <wp:effectExtent l="0" t="0" r="0" b="9525"/>
                  <wp:docPr id="4" name="Picture 4" desc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1666875"/>
                          </a:xfrm>
                          <a:prstGeom prst="rect">
                            <a:avLst/>
                          </a:prstGeom>
                          <a:noFill/>
                          <a:ln>
                            <a:noFill/>
                          </a:ln>
                        </pic:spPr>
                      </pic:pic>
                    </a:graphicData>
                  </a:graphic>
                </wp:inline>
              </w:drawing>
            </w:r>
          </w:p>
        </w:tc>
      </w:tr>
      <w:tr w:rsidR="00E32D25" w14:paraId="4D5F2A04" w14:textId="77777777" w:rsidTr="00E32D25">
        <w:trPr>
          <w:tblCellSpacing w:w="0" w:type="dxa"/>
          <w:jc w:val="center"/>
        </w:trPr>
        <w:tc>
          <w:tcPr>
            <w:tcW w:w="0" w:type="auto"/>
            <w:shd w:val="clear" w:color="auto" w:fill="FFFFFF"/>
            <w:tcMar>
              <w:top w:w="150" w:type="dxa"/>
              <w:left w:w="150" w:type="dxa"/>
              <w:bottom w:w="0" w:type="dxa"/>
              <w:right w:w="150" w:type="dxa"/>
            </w:tcMar>
            <w:vAlign w:val="center"/>
            <w:hideMark/>
          </w:tcPr>
          <w:tbl>
            <w:tblPr>
              <w:tblW w:w="8700" w:type="dxa"/>
              <w:tblCellSpacing w:w="0" w:type="dxa"/>
              <w:tblCellMar>
                <w:left w:w="0" w:type="dxa"/>
                <w:right w:w="0" w:type="dxa"/>
              </w:tblCellMar>
              <w:tblLook w:val="04A0" w:firstRow="1" w:lastRow="0" w:firstColumn="1" w:lastColumn="0" w:noHBand="0" w:noVBand="1"/>
            </w:tblPr>
            <w:tblGrid>
              <w:gridCol w:w="8700"/>
            </w:tblGrid>
            <w:tr w:rsidR="00E32D25" w14:paraId="2EC261F0" w14:textId="77777777">
              <w:trPr>
                <w:tblCellSpacing w:w="0" w:type="dxa"/>
              </w:trPr>
              <w:tc>
                <w:tcPr>
                  <w:tcW w:w="0" w:type="auto"/>
                  <w:tcMar>
                    <w:top w:w="0" w:type="dxa"/>
                    <w:left w:w="0" w:type="dxa"/>
                    <w:bottom w:w="150" w:type="dxa"/>
                    <w:right w:w="0" w:type="dxa"/>
                  </w:tcMar>
                  <w:hideMark/>
                </w:tcPr>
                <w:tbl>
                  <w:tblPr>
                    <w:tblpPr w:leftFromText="45" w:rightFromText="45" w:vertAnchor="text"/>
                    <w:tblW w:w="8700" w:type="dxa"/>
                    <w:tblCellSpacing w:w="0" w:type="dxa"/>
                    <w:tblCellMar>
                      <w:left w:w="0" w:type="dxa"/>
                      <w:right w:w="0" w:type="dxa"/>
                    </w:tblCellMar>
                    <w:tblLook w:val="04A0" w:firstRow="1" w:lastRow="0" w:firstColumn="1" w:lastColumn="0" w:noHBand="0" w:noVBand="1"/>
                  </w:tblPr>
                  <w:tblGrid>
                    <w:gridCol w:w="6165"/>
                    <w:gridCol w:w="2535"/>
                  </w:tblGrid>
                  <w:tr w:rsidR="00E32D25" w14:paraId="6691AD8D" w14:textId="77777777">
                    <w:trPr>
                      <w:tblCellSpacing w:w="0" w:type="dxa"/>
                    </w:trPr>
                    <w:tc>
                      <w:tcPr>
                        <w:tcW w:w="6165" w:type="dxa"/>
                        <w:tcBorders>
                          <w:top w:val="nil"/>
                          <w:left w:val="nil"/>
                          <w:bottom w:val="nil"/>
                          <w:right w:val="dashed" w:sz="6" w:space="0" w:color="999999"/>
                        </w:tcBorders>
                        <w:shd w:val="clear" w:color="auto" w:fill="FFFFFF"/>
                        <w:tcMar>
                          <w:top w:w="0" w:type="dxa"/>
                          <w:left w:w="0" w:type="dxa"/>
                          <w:bottom w:w="0" w:type="dxa"/>
                          <w:right w:w="135" w:type="dxa"/>
                        </w:tcMar>
                      </w:tcPr>
                      <w:p w14:paraId="627A0803" w14:textId="77777777" w:rsidR="00E32D25" w:rsidRDefault="00E32D25">
                        <w:pPr>
                          <w:pStyle w:val="NormalWeb"/>
                          <w:rPr>
                            <w:rFonts w:ascii="Arial" w:hAnsi="Arial" w:cs="Arial"/>
                            <w:color w:val="333333"/>
                            <w:sz w:val="20"/>
                            <w:szCs w:val="20"/>
                          </w:rPr>
                        </w:pPr>
                        <w:r>
                          <w:rPr>
                            <w:rFonts w:ascii="Arial" w:hAnsi="Arial" w:cs="Arial"/>
                            <w:color w:val="0070C0"/>
                            <w:sz w:val="32"/>
                            <w:szCs w:val="32"/>
                          </w:rPr>
                          <w:t xml:space="preserve">Join Us </w:t>
                        </w:r>
                        <w:proofErr w:type="gramStart"/>
                        <w:r>
                          <w:rPr>
                            <w:rFonts w:ascii="Arial" w:hAnsi="Arial" w:cs="Arial"/>
                            <w:color w:val="0070C0"/>
                            <w:sz w:val="32"/>
                            <w:szCs w:val="32"/>
                          </w:rPr>
                          <w:t>For</w:t>
                        </w:r>
                        <w:proofErr w:type="gramEnd"/>
                        <w:r>
                          <w:rPr>
                            <w:rFonts w:ascii="Arial" w:hAnsi="Arial" w:cs="Arial"/>
                            <w:color w:val="0070C0"/>
                            <w:sz w:val="32"/>
                            <w:szCs w:val="32"/>
                          </w:rPr>
                          <w:t xml:space="preserve"> a Live Webinar</w:t>
                        </w:r>
                        <w:r>
                          <w:rPr>
                            <w:rFonts w:ascii="Arial" w:hAnsi="Arial" w:cs="Arial"/>
                            <w:color w:val="333333"/>
                            <w:sz w:val="20"/>
                            <w:szCs w:val="20"/>
                          </w:rPr>
                          <w:br/>
                        </w:r>
                        <w:r>
                          <w:rPr>
                            <w:rFonts w:ascii="Arial" w:hAnsi="Arial" w:cs="Arial"/>
                            <w:color w:val="333333"/>
                            <w:sz w:val="32"/>
                            <w:szCs w:val="32"/>
                          </w:rPr>
                          <w:t>Tax Planning &amp; The 2020 Election</w:t>
                        </w:r>
                      </w:p>
                      <w:p w14:paraId="7E92347A" w14:textId="77777777" w:rsidR="00E32D25" w:rsidRDefault="00E32D25">
                        <w:pPr>
                          <w:pStyle w:val="NormalWeb"/>
                          <w:rPr>
                            <w:rFonts w:ascii="Arial" w:hAnsi="Arial" w:cs="Arial"/>
                            <w:color w:val="333333"/>
                            <w:sz w:val="20"/>
                            <w:szCs w:val="20"/>
                          </w:rPr>
                        </w:pPr>
                        <w:r>
                          <w:rPr>
                            <w:rFonts w:ascii="Arial" w:hAnsi="Arial" w:cs="Arial"/>
                            <w:color w:val="333333"/>
                            <w:sz w:val="20"/>
                            <w:szCs w:val="20"/>
                          </w:rPr>
                          <w:t xml:space="preserve">The 2020 Presidential Election brings even greater uncertainty over the future of income tax and wealth transfer tax strategies. </w:t>
                        </w:r>
                      </w:p>
                      <w:p w14:paraId="49F420E9" w14:textId="77777777" w:rsidR="00E32D25" w:rsidRDefault="00E32D25">
                        <w:pPr>
                          <w:pStyle w:val="NormalWeb"/>
                          <w:rPr>
                            <w:rFonts w:ascii="Arial" w:hAnsi="Arial" w:cs="Arial"/>
                            <w:color w:val="333333"/>
                            <w:sz w:val="20"/>
                            <w:szCs w:val="20"/>
                          </w:rPr>
                        </w:pPr>
                        <w:r>
                          <w:rPr>
                            <w:rFonts w:ascii="Arial" w:hAnsi="Arial" w:cs="Arial"/>
                            <w:color w:val="333333"/>
                            <w:sz w:val="20"/>
                            <w:szCs w:val="20"/>
                          </w:rPr>
                          <w:t xml:space="preserve">You’re invited to join experts Kelsey Clair, Baird Tax Strategist, and Courtney Rosenberger, </w:t>
                        </w:r>
                        <w:proofErr w:type="spellStart"/>
                        <w:r>
                          <w:rPr>
                            <w:rFonts w:ascii="Arial" w:hAnsi="Arial" w:cs="Arial"/>
                            <w:color w:val="333333"/>
                            <w:sz w:val="20"/>
                            <w:szCs w:val="20"/>
                          </w:rPr>
                          <w:t>Strategas</w:t>
                        </w:r>
                        <w:proofErr w:type="spellEnd"/>
                        <w:r>
                          <w:rPr>
                            <w:rFonts w:ascii="Arial" w:hAnsi="Arial" w:cs="Arial"/>
                            <w:color w:val="333333"/>
                            <w:sz w:val="20"/>
                            <w:szCs w:val="20"/>
                          </w:rPr>
                          <w:t xml:space="preserve"> Policy Research Analyst, to discuss year-end planning strategies that you may want to consider implementing regardless of any future tax law changes, as well as to understand how future tax law changes could impact planning in 2021 and beyond.</w:t>
                        </w:r>
                      </w:p>
                      <w:p w14:paraId="359F5666" w14:textId="77777777" w:rsidR="00E32D25" w:rsidRDefault="00E32D25">
                        <w:pPr>
                          <w:pStyle w:val="NormalWeb"/>
                          <w:rPr>
                            <w:rFonts w:ascii="Arial" w:hAnsi="Arial" w:cs="Arial"/>
                            <w:color w:val="333333"/>
                            <w:sz w:val="20"/>
                            <w:szCs w:val="20"/>
                          </w:rPr>
                        </w:pPr>
                        <w:r>
                          <w:rPr>
                            <w:rStyle w:val="Strong"/>
                            <w:rFonts w:ascii="Arial" w:hAnsi="Arial" w:cs="Arial"/>
                            <w:color w:val="333333"/>
                            <w:sz w:val="20"/>
                            <w:szCs w:val="20"/>
                          </w:rPr>
                          <w:t>Thursday, November 19, 2020</w:t>
                        </w:r>
                        <w:r>
                          <w:rPr>
                            <w:rFonts w:ascii="Arial" w:hAnsi="Arial" w:cs="Arial"/>
                            <w:color w:val="333333"/>
                            <w:sz w:val="20"/>
                            <w:szCs w:val="20"/>
                          </w:rPr>
                          <w:br/>
                          <w:t>12:00-1:00 p.m. CT</w:t>
                        </w:r>
                      </w:p>
                      <w:p w14:paraId="3CC25308" w14:textId="02B441D3" w:rsidR="00E32D25" w:rsidRDefault="00E32D25">
                        <w:pPr>
                          <w:pStyle w:val="NormalWeb"/>
                          <w:spacing w:before="0" w:beforeAutospacing="0" w:after="0" w:afterAutospacing="0"/>
                          <w:rPr>
                            <w:rFonts w:ascii="Arial" w:hAnsi="Arial" w:cs="Arial"/>
                            <w:sz w:val="20"/>
                            <w:szCs w:val="20"/>
                          </w:rPr>
                        </w:pPr>
                        <w:r>
                          <w:rPr>
                            <w:rFonts w:ascii="Arial" w:eastAsia="Times New Roman" w:hAnsi="Arial" w:cs="Arial"/>
                            <w:noProof/>
                            <w:sz w:val="20"/>
                            <w:szCs w:val="20"/>
                          </w:rPr>
                          <w:drawing>
                            <wp:inline distT="0" distB="0" distL="0" distR="0" wp14:anchorId="5D0E3C1C" wp14:editId="280FD6E8">
                              <wp:extent cx="3076575" cy="428625"/>
                              <wp:effectExtent l="0" t="0" r="9525" b="9525"/>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76575" cy="428625"/>
                                      </a:xfrm>
                                      <a:prstGeom prst="rect">
                                        <a:avLst/>
                                      </a:prstGeom>
                                      <a:noFill/>
                                      <a:ln>
                                        <a:noFill/>
                                      </a:ln>
                                    </pic:spPr>
                                  </pic:pic>
                                </a:graphicData>
                              </a:graphic>
                            </wp:inline>
                          </w:drawing>
                        </w:r>
                      </w:p>
                      <w:p w14:paraId="05F83ACB" w14:textId="77777777" w:rsidR="00E32D25" w:rsidRDefault="00E32D25">
                        <w:pPr>
                          <w:pStyle w:val="NormalWeb"/>
                          <w:spacing w:before="0" w:beforeAutospacing="0" w:after="0" w:afterAutospacing="0"/>
                          <w:rPr>
                            <w:rFonts w:ascii="Times New Roman" w:hAnsi="Times New Roman" w:cs="Times New Roman"/>
                            <w:sz w:val="20"/>
                            <w:szCs w:val="20"/>
                          </w:rPr>
                        </w:pPr>
                      </w:p>
                      <w:p w14:paraId="1EF42BE7" w14:textId="77777777" w:rsidR="00E32D25" w:rsidRDefault="00E32D25">
                        <w:pPr>
                          <w:pStyle w:val="NormalWeb"/>
                          <w:spacing w:before="0" w:beforeAutospacing="0" w:after="0" w:afterAutospacing="0"/>
                          <w:rPr>
                            <w:rFonts w:ascii="Arial" w:hAnsi="Arial" w:cs="Arial"/>
                            <w:i/>
                            <w:iCs/>
                            <w:color w:val="333333"/>
                            <w:sz w:val="20"/>
                            <w:szCs w:val="20"/>
                          </w:rPr>
                        </w:pPr>
                        <w:r>
                          <w:rPr>
                            <w:rFonts w:ascii="Arial" w:hAnsi="Arial" w:cs="Arial"/>
                            <w:i/>
                            <w:iCs/>
                            <w:color w:val="333333"/>
                            <w:sz w:val="20"/>
                            <w:szCs w:val="20"/>
                          </w:rPr>
                          <w:t>*1 CFP credit and 1 CLE will be applied for</w:t>
                        </w:r>
                      </w:p>
                      <w:p w14:paraId="18451290" w14:textId="77777777" w:rsidR="00E32D25" w:rsidRDefault="00E32D25">
                        <w:pPr>
                          <w:pStyle w:val="NormalWeb"/>
                          <w:spacing w:before="0" w:beforeAutospacing="0" w:after="0" w:afterAutospacing="0"/>
                          <w:rPr>
                            <w:rFonts w:ascii="Times New Roman" w:hAnsi="Times New Roman" w:cs="Times New Roman"/>
                            <w:sz w:val="20"/>
                            <w:szCs w:val="20"/>
                          </w:rPr>
                        </w:pPr>
                      </w:p>
                      <w:p w14:paraId="2CE5E964" w14:textId="77777777" w:rsidR="00E32D25" w:rsidRDefault="00E32D25">
                        <w:pPr>
                          <w:pStyle w:val="NormalWeb"/>
                          <w:spacing w:before="0" w:beforeAutospacing="0" w:after="0" w:afterAutospacing="0"/>
                          <w:rPr>
                            <w:rFonts w:ascii="Arial" w:hAnsi="Arial" w:cs="Arial"/>
                            <w:color w:val="333333"/>
                            <w:sz w:val="20"/>
                            <w:szCs w:val="20"/>
                          </w:rPr>
                        </w:pPr>
                        <w:r>
                          <w:rPr>
                            <w:rFonts w:ascii="Arial" w:hAnsi="Arial" w:cs="Arial"/>
                            <w:color w:val="333333"/>
                            <w:sz w:val="20"/>
                            <w:szCs w:val="20"/>
                          </w:rPr>
                          <w:t xml:space="preserve">Please </w:t>
                        </w:r>
                        <w:proofErr w:type="gramStart"/>
                        <w:r>
                          <w:rPr>
                            <w:rFonts w:ascii="Arial" w:hAnsi="Arial" w:cs="Arial"/>
                            <w:color w:val="333333"/>
                            <w:sz w:val="20"/>
                            <w:szCs w:val="20"/>
                          </w:rPr>
                          <w:t>don’t</w:t>
                        </w:r>
                        <w:proofErr w:type="gramEnd"/>
                        <w:r>
                          <w:rPr>
                            <w:rFonts w:ascii="Arial" w:hAnsi="Arial" w:cs="Arial"/>
                            <w:color w:val="333333"/>
                            <w:sz w:val="20"/>
                            <w:szCs w:val="20"/>
                          </w:rPr>
                          <w:t xml:space="preserve"> hesitate to reach out if you have any questions. We look forward to you joining us!</w:t>
                        </w:r>
                      </w:p>
                      <w:p w14:paraId="0B377B52" w14:textId="77777777" w:rsidR="00E32D25" w:rsidRDefault="00E32D25">
                        <w:pPr>
                          <w:pStyle w:val="NormalWeb"/>
                          <w:spacing w:before="0" w:beforeAutospacing="0" w:after="0" w:afterAutospacing="0"/>
                          <w:rPr>
                            <w:rFonts w:ascii="Times New Roman" w:hAnsi="Times New Roman" w:cs="Times New Roman"/>
                            <w:sz w:val="20"/>
                            <w:szCs w:val="20"/>
                          </w:rPr>
                        </w:pPr>
                      </w:p>
                      <w:p w14:paraId="6A82B208" w14:textId="77777777" w:rsidR="00E32D25" w:rsidRDefault="00E32D25">
                        <w:pPr>
                          <w:pStyle w:val="NormalWeb"/>
                          <w:spacing w:before="0" w:beforeAutospacing="0" w:after="0" w:afterAutospacing="0"/>
                          <w:rPr>
                            <w:rFonts w:ascii="Arial" w:hAnsi="Arial" w:cs="Arial"/>
                            <w:color w:val="333333"/>
                            <w:sz w:val="20"/>
                            <w:szCs w:val="20"/>
                          </w:rPr>
                        </w:pPr>
                        <w:r>
                          <w:rPr>
                            <w:rStyle w:val="Strong"/>
                            <w:rFonts w:ascii="Arial" w:hAnsi="Arial" w:cs="Arial"/>
                            <w:color w:val="333333"/>
                            <w:sz w:val="20"/>
                            <w:szCs w:val="20"/>
                          </w:rPr>
                          <w:t>Hosted by:</w:t>
                        </w:r>
                        <w:r>
                          <w:rPr>
                            <w:rFonts w:ascii="Arial" w:hAnsi="Arial" w:cs="Arial"/>
                            <w:color w:val="333333"/>
                            <w:sz w:val="20"/>
                            <w:szCs w:val="20"/>
                          </w:rPr>
                          <w:t xml:space="preserve"> </w:t>
                        </w:r>
                      </w:p>
                      <w:p w14:paraId="32F4D46B" w14:textId="77777777" w:rsidR="00E32D25" w:rsidRDefault="00E32D25">
                        <w:pPr>
                          <w:pStyle w:val="NormalWeb"/>
                          <w:spacing w:before="0" w:beforeAutospacing="0" w:after="0" w:afterAutospacing="0"/>
                          <w:rPr>
                            <w:rFonts w:ascii="Arial" w:hAnsi="Arial" w:cs="Arial"/>
                            <w:color w:val="333333"/>
                            <w:sz w:val="20"/>
                            <w:szCs w:val="2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0"/>
                          <w:gridCol w:w="504"/>
                          <w:gridCol w:w="3471"/>
                        </w:tblGrid>
                        <w:tr w:rsidR="00E32D25" w14:paraId="3FA7045B" w14:textId="77777777">
                          <w:trPr>
                            <w:trHeight w:val="1052"/>
                          </w:trPr>
                          <w:tc>
                            <w:tcPr>
                              <w:tcW w:w="2040" w:type="dxa"/>
                            </w:tcPr>
                            <w:p w14:paraId="7585DBD8" w14:textId="77777777" w:rsidR="00E32D25" w:rsidRDefault="00E32D25">
                              <w:pPr>
                                <w:pStyle w:val="NormalWeb"/>
                                <w:spacing w:before="0" w:beforeAutospacing="0" w:after="0" w:afterAutospacing="0"/>
                                <w:rPr>
                                  <w:rStyle w:val="Strong"/>
                                  <w:b w:val="0"/>
                                  <w:bCs w:val="0"/>
                                </w:rPr>
                              </w:pPr>
                              <w:r>
                                <w:rPr>
                                  <w:rStyle w:val="Strong"/>
                                  <w:rFonts w:ascii="Arial" w:hAnsi="Arial" w:cs="Arial"/>
                                  <w:color w:val="333333"/>
                                  <w:sz w:val="20"/>
                                  <w:szCs w:val="20"/>
                                </w:rPr>
                                <w:t>Waukesha County Estate Planning Council</w:t>
                              </w:r>
                            </w:p>
                            <w:p w14:paraId="2B4FD88B" w14:textId="77777777" w:rsidR="00E32D25" w:rsidRDefault="00E32D25">
                              <w:pPr>
                                <w:pStyle w:val="NormalWeb"/>
                                <w:spacing w:before="0" w:beforeAutospacing="0" w:after="0" w:afterAutospacing="0"/>
                                <w:rPr>
                                  <w:rFonts w:ascii="Times New Roman" w:hAnsi="Times New Roman" w:cs="Times New Roman"/>
                                </w:rPr>
                              </w:pPr>
                            </w:p>
                          </w:tc>
                          <w:tc>
                            <w:tcPr>
                              <w:tcW w:w="504" w:type="dxa"/>
                            </w:tcPr>
                            <w:p w14:paraId="313315B4" w14:textId="77777777" w:rsidR="00E32D25" w:rsidRDefault="00E32D25">
                              <w:pPr>
                                <w:pStyle w:val="NormalWeb"/>
                                <w:spacing w:before="0" w:beforeAutospacing="0" w:after="0" w:afterAutospacing="0"/>
                                <w:jc w:val="center"/>
                                <w:rPr>
                                  <w:rStyle w:val="Strong"/>
                                  <w:b w:val="0"/>
                                  <w:bCs w:val="0"/>
                                </w:rPr>
                              </w:pPr>
                            </w:p>
                            <w:p w14:paraId="0FD45FA1" w14:textId="77777777" w:rsidR="00E32D25" w:rsidRDefault="00E32D25">
                              <w:pPr>
                                <w:pStyle w:val="NormalWeb"/>
                                <w:spacing w:before="0" w:beforeAutospacing="0" w:after="0" w:afterAutospacing="0"/>
                                <w:rPr>
                                  <w:rFonts w:ascii="Times New Roman" w:hAnsi="Times New Roman" w:cs="Times New Roman"/>
                                </w:rPr>
                              </w:pPr>
                              <w:r>
                                <w:rPr>
                                  <w:rStyle w:val="Strong"/>
                                  <w:rFonts w:ascii="Arial" w:hAnsi="Arial" w:cs="Arial"/>
                                  <w:b w:val="0"/>
                                  <w:bCs w:val="0"/>
                                  <w:color w:val="333333"/>
                                  <w:sz w:val="20"/>
                                  <w:szCs w:val="20"/>
                                </w:rPr>
                                <w:t>&amp;</w:t>
                              </w:r>
                            </w:p>
                          </w:tc>
                          <w:tc>
                            <w:tcPr>
                              <w:tcW w:w="3471" w:type="dxa"/>
                            </w:tcPr>
                            <w:p w14:paraId="616550AB" w14:textId="77777777" w:rsidR="00E32D25" w:rsidRDefault="00E32D25">
                              <w:pPr>
                                <w:pStyle w:val="NormalWeb"/>
                                <w:spacing w:before="0" w:beforeAutospacing="0" w:after="0" w:afterAutospacing="0"/>
                                <w:rPr>
                                  <w:rStyle w:val="Strong"/>
                                </w:rPr>
                              </w:pPr>
                              <w:r>
                                <w:rPr>
                                  <w:rStyle w:val="Strong"/>
                                  <w:rFonts w:ascii="Arial" w:hAnsi="Arial" w:cs="Arial"/>
                                  <w:color w:val="333333"/>
                                  <w:sz w:val="20"/>
                                  <w:szCs w:val="20"/>
                                </w:rPr>
                                <w:t>Rick Verthein</w:t>
                              </w:r>
                            </w:p>
                            <w:p w14:paraId="06D49E45" w14:textId="77777777" w:rsidR="00E32D25" w:rsidRDefault="00E32D25">
                              <w:pPr>
                                <w:pStyle w:val="NormalWeb"/>
                                <w:spacing w:before="0" w:beforeAutospacing="0" w:after="0" w:afterAutospacing="0"/>
                                <w:rPr>
                                  <w:rFonts w:ascii="Times New Roman" w:hAnsi="Times New Roman" w:cs="Times New Roman"/>
                                </w:rPr>
                              </w:pPr>
                              <w:r>
                                <w:rPr>
                                  <w:rStyle w:val="Strong"/>
                                  <w:rFonts w:ascii="Arial" w:hAnsi="Arial" w:cs="Arial"/>
                                  <w:b w:val="0"/>
                                  <w:bCs w:val="0"/>
                                  <w:color w:val="333333"/>
                                  <w:sz w:val="20"/>
                                  <w:szCs w:val="20"/>
                                </w:rPr>
                                <w:t>The BVB Group</w:t>
                              </w:r>
                              <w:r>
                                <w:rPr>
                                  <w:rStyle w:val="Strong"/>
                                  <w:rFonts w:ascii="Arial" w:hAnsi="Arial" w:cs="Arial"/>
                                  <w:color w:val="333333"/>
                                  <w:sz w:val="20"/>
                                  <w:szCs w:val="20"/>
                                </w:rPr>
                                <w:t xml:space="preserve"> </w:t>
                              </w:r>
                              <w:r>
                                <w:rPr>
                                  <w:rFonts w:ascii="Arial" w:hAnsi="Arial" w:cs="Arial"/>
                                  <w:noProof/>
                                  <w:sz w:val="20"/>
                                  <w:szCs w:val="20"/>
                                </w:rPr>
                                <w:br/>
                              </w:r>
                              <w:r>
                                <w:rPr>
                                  <w:rFonts w:ascii="Arial" w:hAnsi="Arial" w:cs="Arial"/>
                                  <w:color w:val="333333"/>
                                  <w:sz w:val="20"/>
                                  <w:szCs w:val="20"/>
                                </w:rPr>
                                <w:t>Baird</w:t>
                              </w:r>
                            </w:p>
                            <w:p w14:paraId="25C870FE" w14:textId="77777777" w:rsidR="00E32D25" w:rsidRDefault="00E32D25">
                              <w:pPr>
                                <w:pStyle w:val="NormalWeb"/>
                                <w:spacing w:before="0" w:beforeAutospacing="0" w:after="0" w:afterAutospacing="0"/>
                                <w:rPr>
                                  <w:rFonts w:ascii="Times New Roman" w:hAnsi="Times New Roman" w:cs="Times New Roman"/>
                                  <w:sz w:val="20"/>
                                  <w:szCs w:val="20"/>
                                </w:rPr>
                              </w:pPr>
                              <w:hyperlink r:id="rId7" w:history="1">
                                <w:r>
                                  <w:rPr>
                                    <w:rStyle w:val="Hyperlink"/>
                                    <w:rFonts w:ascii="Arial" w:hAnsi="Arial" w:cs="Arial"/>
                                    <w:sz w:val="20"/>
                                    <w:szCs w:val="20"/>
                                  </w:rPr>
                                  <w:t>bvbgroupbaird.com</w:t>
                                </w:r>
                              </w:hyperlink>
                            </w:p>
                            <w:p w14:paraId="15A39565" w14:textId="77777777" w:rsidR="00E32D25" w:rsidRDefault="00E32D25">
                              <w:pPr>
                                <w:pStyle w:val="NormalWeb"/>
                                <w:spacing w:before="0" w:beforeAutospacing="0" w:after="0" w:afterAutospacing="0"/>
                                <w:rPr>
                                  <w:rFonts w:ascii="Times New Roman" w:hAnsi="Times New Roman" w:cs="Times New Roman"/>
                                  <w:sz w:val="20"/>
                                  <w:szCs w:val="20"/>
                                </w:rPr>
                              </w:pPr>
                            </w:p>
                          </w:tc>
                        </w:tr>
                      </w:tbl>
                      <w:p w14:paraId="055EE789" w14:textId="77777777" w:rsidR="00E32D25" w:rsidRDefault="00E32D25">
                        <w:pPr>
                          <w:pStyle w:val="NormalWeb"/>
                          <w:spacing w:before="0" w:beforeAutospacing="0" w:after="0" w:afterAutospacing="0"/>
                          <w:rPr>
                            <w:rFonts w:ascii="Arial" w:eastAsia="Times New Roman" w:hAnsi="Arial" w:cs="Arial"/>
                            <w:color w:val="333333"/>
                            <w:sz w:val="20"/>
                            <w:szCs w:val="20"/>
                          </w:rPr>
                        </w:pPr>
                      </w:p>
                    </w:tc>
                    <w:tc>
                      <w:tcPr>
                        <w:tcW w:w="2535" w:type="dxa"/>
                        <w:shd w:val="clear" w:color="auto" w:fill="FFFFFF"/>
                        <w:tcMar>
                          <w:top w:w="0" w:type="dxa"/>
                          <w:left w:w="150" w:type="dxa"/>
                          <w:bottom w:w="0" w:type="dxa"/>
                          <w:right w:w="0" w:type="dxa"/>
                        </w:tcMar>
                      </w:tcPr>
                      <w:p w14:paraId="24E52965" w14:textId="0113FC5A" w:rsidR="00E32D25" w:rsidRDefault="00E32D25">
                        <w:pPr>
                          <w:jc w:val="center"/>
                          <w:rPr>
                            <w:rFonts w:eastAsia="Times New Roman"/>
                          </w:rPr>
                        </w:pPr>
                        <w:r>
                          <w:rPr>
                            <w:rFonts w:eastAsia="Times New Roman"/>
                            <w:noProof/>
                          </w:rPr>
                          <w:drawing>
                            <wp:inline distT="0" distB="0" distL="0" distR="0" wp14:anchorId="0624EF8B" wp14:editId="0CC1C7A0">
                              <wp:extent cx="1352550" cy="1409700"/>
                              <wp:effectExtent l="0" t="0" r="0" b="0"/>
                              <wp:docPr id="2" name="Picture 2"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person smiling for the camera&#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1409700"/>
                                      </a:xfrm>
                                      <a:prstGeom prst="rect">
                                        <a:avLst/>
                                      </a:prstGeom>
                                      <a:noFill/>
                                      <a:ln>
                                        <a:noFill/>
                                      </a:ln>
                                    </pic:spPr>
                                  </pic:pic>
                                </a:graphicData>
                              </a:graphic>
                            </wp:inline>
                          </w:drawing>
                        </w:r>
                      </w:p>
                      <w:p w14:paraId="0671CB21" w14:textId="77777777" w:rsidR="00E32D25" w:rsidRDefault="00E32D25">
                        <w:pPr>
                          <w:jc w:val="center"/>
                          <w:rPr>
                            <w:rFonts w:ascii="Arial" w:eastAsiaTheme="minorHAnsi" w:hAnsi="Arial" w:cs="Arial"/>
                            <w:color w:val="333333"/>
                            <w:sz w:val="20"/>
                            <w:szCs w:val="20"/>
                          </w:rPr>
                        </w:pPr>
                        <w:r>
                          <w:rPr>
                            <w:rFonts w:ascii="Arial" w:eastAsiaTheme="minorHAnsi" w:hAnsi="Arial" w:cs="Arial"/>
                            <w:b/>
                            <w:bCs/>
                            <w:color w:val="333333"/>
                            <w:sz w:val="20"/>
                            <w:szCs w:val="20"/>
                          </w:rPr>
                          <w:t xml:space="preserve">Kelsey Clair </w:t>
                        </w:r>
                        <w:r>
                          <w:rPr>
                            <w:rFonts w:ascii="Arial" w:eastAsiaTheme="minorHAnsi" w:hAnsi="Arial" w:cs="Arial"/>
                            <w:color w:val="333333"/>
                            <w:sz w:val="20"/>
                            <w:szCs w:val="20"/>
                          </w:rPr>
                          <w:br/>
                          <w:t>Tax Strategist</w:t>
                        </w:r>
                      </w:p>
                      <w:p w14:paraId="568A76BF" w14:textId="77777777" w:rsidR="00E32D25" w:rsidRDefault="00E32D25">
                        <w:pPr>
                          <w:jc w:val="center"/>
                          <w:rPr>
                            <w:rFonts w:ascii="Arial" w:eastAsiaTheme="minorHAnsi" w:hAnsi="Arial" w:cs="Arial"/>
                            <w:color w:val="333333"/>
                            <w:sz w:val="20"/>
                            <w:szCs w:val="20"/>
                          </w:rPr>
                        </w:pPr>
                        <w:r>
                          <w:rPr>
                            <w:rFonts w:ascii="Arial" w:eastAsiaTheme="minorHAnsi" w:hAnsi="Arial" w:cs="Arial"/>
                            <w:color w:val="333333"/>
                            <w:sz w:val="20"/>
                            <w:szCs w:val="20"/>
                          </w:rPr>
                          <w:t>Baird</w:t>
                        </w:r>
                      </w:p>
                      <w:p w14:paraId="18FA5B59" w14:textId="77777777" w:rsidR="00E32D25" w:rsidRDefault="00E32D25">
                        <w:pPr>
                          <w:jc w:val="center"/>
                          <w:rPr>
                            <w:rFonts w:ascii="Verdana" w:eastAsiaTheme="minorHAnsi" w:hAnsi="Verdana" w:cs="Arial"/>
                            <w:color w:val="333333"/>
                            <w:sz w:val="22"/>
                            <w:szCs w:val="22"/>
                          </w:rPr>
                        </w:pPr>
                      </w:p>
                      <w:p w14:paraId="578F36A1" w14:textId="4540AA3C" w:rsidR="00E32D25" w:rsidRDefault="00E32D25">
                        <w:pPr>
                          <w:jc w:val="center"/>
                          <w:rPr>
                            <w:rFonts w:eastAsia="Times New Roman"/>
                          </w:rPr>
                        </w:pPr>
                        <w:r>
                          <w:rPr>
                            <w:noProof/>
                          </w:rPr>
                          <w:drawing>
                            <wp:inline distT="0" distB="0" distL="0" distR="0" wp14:anchorId="52065427" wp14:editId="025D02CA">
                              <wp:extent cx="1247775" cy="1590675"/>
                              <wp:effectExtent l="0" t="0" r="9525" b="9525"/>
                              <wp:docPr id="1" name="Picture 1"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erson smiling for the camera&#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b="9077"/>
                                      <a:stretch>
                                        <a:fillRect/>
                                      </a:stretch>
                                    </pic:blipFill>
                                    <pic:spPr bwMode="auto">
                                      <a:xfrm>
                                        <a:off x="0" y="0"/>
                                        <a:ext cx="1247775" cy="1590675"/>
                                      </a:xfrm>
                                      <a:prstGeom prst="rect">
                                        <a:avLst/>
                                      </a:prstGeom>
                                      <a:noFill/>
                                      <a:ln>
                                        <a:noFill/>
                                      </a:ln>
                                    </pic:spPr>
                                  </pic:pic>
                                </a:graphicData>
                              </a:graphic>
                            </wp:inline>
                          </w:drawing>
                        </w:r>
                      </w:p>
                      <w:p w14:paraId="2C2F9B67" w14:textId="77777777" w:rsidR="00E32D25" w:rsidRDefault="00E32D25">
                        <w:pPr>
                          <w:jc w:val="center"/>
                          <w:rPr>
                            <w:rFonts w:ascii="Arial" w:eastAsiaTheme="minorHAnsi" w:hAnsi="Arial" w:cs="Arial"/>
                            <w:b/>
                            <w:bCs/>
                            <w:color w:val="333333"/>
                            <w:sz w:val="20"/>
                            <w:szCs w:val="20"/>
                          </w:rPr>
                        </w:pPr>
                        <w:r>
                          <w:rPr>
                            <w:rFonts w:ascii="Arial" w:eastAsiaTheme="minorHAnsi" w:hAnsi="Arial" w:cs="Arial"/>
                            <w:b/>
                            <w:bCs/>
                            <w:color w:val="333333"/>
                            <w:sz w:val="20"/>
                            <w:szCs w:val="20"/>
                          </w:rPr>
                          <w:t>Courtney Rosenberger</w:t>
                        </w:r>
                      </w:p>
                      <w:p w14:paraId="39697AE3" w14:textId="77777777" w:rsidR="00E32D25" w:rsidRDefault="00E32D25">
                        <w:pPr>
                          <w:jc w:val="center"/>
                          <w:rPr>
                            <w:rFonts w:ascii="Arial" w:eastAsiaTheme="minorHAnsi" w:hAnsi="Arial" w:cs="Arial"/>
                            <w:color w:val="333333"/>
                            <w:sz w:val="20"/>
                            <w:szCs w:val="20"/>
                          </w:rPr>
                        </w:pPr>
                        <w:r>
                          <w:rPr>
                            <w:rFonts w:ascii="Arial" w:eastAsiaTheme="minorHAnsi" w:hAnsi="Arial" w:cs="Arial"/>
                            <w:color w:val="333333"/>
                            <w:sz w:val="20"/>
                            <w:szCs w:val="20"/>
                          </w:rPr>
                          <w:t>Policy Research Analyst</w:t>
                        </w:r>
                      </w:p>
                      <w:p w14:paraId="1E9C2059" w14:textId="77777777" w:rsidR="00E32D25" w:rsidRDefault="00E32D25">
                        <w:pPr>
                          <w:spacing w:after="180"/>
                          <w:jc w:val="center"/>
                          <w:rPr>
                            <w:rFonts w:ascii="Arial" w:eastAsiaTheme="minorHAnsi" w:hAnsi="Arial" w:cs="Arial"/>
                            <w:color w:val="333333"/>
                            <w:sz w:val="22"/>
                            <w:szCs w:val="22"/>
                          </w:rPr>
                        </w:pPr>
                        <w:proofErr w:type="spellStart"/>
                        <w:r>
                          <w:rPr>
                            <w:rFonts w:ascii="Arial" w:eastAsiaTheme="minorHAnsi" w:hAnsi="Arial" w:cs="Arial"/>
                            <w:color w:val="333333"/>
                            <w:sz w:val="20"/>
                            <w:szCs w:val="20"/>
                          </w:rPr>
                          <w:t>Strategas</w:t>
                        </w:r>
                        <w:proofErr w:type="spellEnd"/>
                        <w:r>
                          <w:rPr>
                            <w:rFonts w:ascii="Arial" w:eastAsiaTheme="minorHAnsi" w:hAnsi="Arial" w:cs="Arial"/>
                            <w:color w:val="333333"/>
                            <w:sz w:val="20"/>
                            <w:szCs w:val="20"/>
                          </w:rPr>
                          <w:t xml:space="preserve"> </w:t>
                        </w:r>
                      </w:p>
                    </w:tc>
                  </w:tr>
                </w:tbl>
                <w:p w14:paraId="7DBBF567" w14:textId="77777777" w:rsidR="00E32D25" w:rsidRDefault="00E32D25">
                  <w:pPr>
                    <w:rPr>
                      <w:rFonts w:eastAsia="Times New Roman"/>
                      <w:sz w:val="20"/>
                      <w:szCs w:val="20"/>
                    </w:rPr>
                  </w:pPr>
                </w:p>
              </w:tc>
            </w:tr>
          </w:tbl>
          <w:p w14:paraId="7233EEDB" w14:textId="77777777" w:rsidR="00E32D25" w:rsidRDefault="00E32D25">
            <w:pPr>
              <w:rPr>
                <w:rFonts w:eastAsia="Times New Roman"/>
                <w:sz w:val="20"/>
                <w:szCs w:val="20"/>
              </w:rPr>
            </w:pPr>
          </w:p>
        </w:tc>
      </w:tr>
      <w:tr w:rsidR="00E32D25" w14:paraId="43EF6521" w14:textId="77777777" w:rsidTr="00E32D25">
        <w:trPr>
          <w:tblCellSpacing w:w="0" w:type="dxa"/>
          <w:jc w:val="center"/>
        </w:trPr>
        <w:tc>
          <w:tcPr>
            <w:tcW w:w="0" w:type="auto"/>
            <w:shd w:val="clear" w:color="auto" w:fill="F2F2F2"/>
            <w:tcMar>
              <w:top w:w="150" w:type="dxa"/>
              <w:left w:w="150" w:type="dxa"/>
              <w:bottom w:w="150" w:type="dxa"/>
              <w:right w:w="150" w:type="dxa"/>
            </w:tcMar>
            <w:vAlign w:val="center"/>
            <w:hideMark/>
          </w:tcPr>
          <w:p w14:paraId="56DBA901" w14:textId="77777777" w:rsidR="00E32D25" w:rsidRDefault="00E32D25">
            <w:pPr>
              <w:rPr>
                <w:rFonts w:ascii="Arial" w:eastAsia="Times New Roman" w:hAnsi="Arial" w:cs="Arial"/>
                <w:color w:val="333333"/>
                <w:sz w:val="15"/>
                <w:szCs w:val="15"/>
              </w:rPr>
            </w:pPr>
            <w:r>
              <w:rPr>
                <w:rFonts w:ascii="Arial" w:eastAsia="Times New Roman" w:hAnsi="Arial" w:cs="Arial"/>
                <w:color w:val="333333"/>
                <w:sz w:val="15"/>
                <w:szCs w:val="15"/>
              </w:rPr>
              <w:t xml:space="preserve">Robert W. Baird &amp; Co. does not offer tax or legal advice. </w:t>
            </w:r>
            <w:r>
              <w:rPr>
                <w:rFonts w:ascii="Arial" w:eastAsia="Times New Roman" w:hAnsi="Arial" w:cs="Arial"/>
                <w:color w:val="333333"/>
                <w:sz w:val="15"/>
                <w:szCs w:val="15"/>
              </w:rPr>
              <w:br/>
            </w:r>
            <w:r>
              <w:rPr>
                <w:rFonts w:ascii="Arial" w:eastAsia="Times New Roman" w:hAnsi="Arial" w:cs="Arial"/>
                <w:color w:val="333333"/>
                <w:sz w:val="15"/>
                <w:szCs w:val="15"/>
              </w:rPr>
              <w:br/>
              <w:t xml:space="preserve">If you do not wish to receive further Baird email announcements, reply to this email with "Remove Me" in the subject line. </w:t>
            </w:r>
            <w:r>
              <w:rPr>
                <w:rFonts w:ascii="Arial" w:eastAsia="Times New Roman" w:hAnsi="Arial" w:cs="Arial"/>
                <w:color w:val="333333"/>
                <w:sz w:val="15"/>
                <w:szCs w:val="15"/>
              </w:rPr>
              <w:br/>
            </w:r>
            <w:r>
              <w:rPr>
                <w:rFonts w:ascii="Arial" w:eastAsia="Times New Roman" w:hAnsi="Arial" w:cs="Arial"/>
                <w:color w:val="333333"/>
                <w:sz w:val="15"/>
                <w:szCs w:val="15"/>
              </w:rPr>
              <w:br/>
              <w:t xml:space="preserve">Robert W. Baird &amp; Co. Incorporated. 777 East Wisconsin Avenue, Milwaukee, WI 53202. 800-79-BAIRD. </w:t>
            </w:r>
            <w:hyperlink r:id="rId10" w:tgtFrame="_blank" w:history="1">
              <w:r>
                <w:rPr>
                  <w:rStyle w:val="Hyperlink"/>
                  <w:rFonts w:ascii="Arial" w:eastAsia="Times New Roman" w:hAnsi="Arial" w:cs="Arial"/>
                  <w:color w:val="333333"/>
                  <w:sz w:val="15"/>
                  <w:szCs w:val="15"/>
                </w:rPr>
                <w:t>rwbaird.com</w:t>
              </w:r>
            </w:hyperlink>
            <w:r>
              <w:rPr>
                <w:rFonts w:ascii="Arial" w:eastAsia="Times New Roman" w:hAnsi="Arial" w:cs="Arial"/>
                <w:color w:val="333333"/>
                <w:sz w:val="15"/>
                <w:szCs w:val="15"/>
              </w:rPr>
              <w:t xml:space="preserve">. </w:t>
            </w:r>
            <w:r>
              <w:rPr>
                <w:rFonts w:ascii="Arial" w:eastAsia="Times New Roman" w:hAnsi="Arial" w:cs="Arial"/>
                <w:color w:val="333333"/>
                <w:sz w:val="15"/>
                <w:szCs w:val="15"/>
              </w:rPr>
              <w:br/>
            </w:r>
            <w:r>
              <w:rPr>
                <w:rFonts w:ascii="Arial" w:eastAsia="Times New Roman" w:hAnsi="Arial" w:cs="Arial"/>
                <w:color w:val="333333"/>
                <w:sz w:val="15"/>
                <w:szCs w:val="15"/>
              </w:rPr>
              <w:br/>
              <w:t>MC-IN_PM_TE_3</w:t>
            </w:r>
          </w:p>
        </w:tc>
      </w:tr>
    </w:tbl>
    <w:p w14:paraId="5EDC7468" w14:textId="77777777" w:rsidR="00AE74EA" w:rsidRDefault="00AE74EA"/>
    <w:sectPr w:rsidR="00AE74EA" w:rsidSect="00E32D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Myriad Pro">
    <w:altName w:val="Times New Roman"/>
    <w:panose1 w:val="00000000000000000000"/>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D25"/>
    <w:rsid w:val="000163F9"/>
    <w:rsid w:val="00044331"/>
    <w:rsid w:val="00080166"/>
    <w:rsid w:val="000816F6"/>
    <w:rsid w:val="00084D43"/>
    <w:rsid w:val="00094FB1"/>
    <w:rsid w:val="000A02E0"/>
    <w:rsid w:val="000A0BFB"/>
    <w:rsid w:val="000C6C23"/>
    <w:rsid w:val="000F6D86"/>
    <w:rsid w:val="00160A3C"/>
    <w:rsid w:val="001B0C08"/>
    <w:rsid w:val="001B68FD"/>
    <w:rsid w:val="00200271"/>
    <w:rsid w:val="00212DBB"/>
    <w:rsid w:val="00213030"/>
    <w:rsid w:val="00245188"/>
    <w:rsid w:val="00270CC1"/>
    <w:rsid w:val="0028416B"/>
    <w:rsid w:val="002A63BA"/>
    <w:rsid w:val="002C331C"/>
    <w:rsid w:val="002D239E"/>
    <w:rsid w:val="002F2F83"/>
    <w:rsid w:val="00306F5D"/>
    <w:rsid w:val="00440388"/>
    <w:rsid w:val="00496112"/>
    <w:rsid w:val="004A37DD"/>
    <w:rsid w:val="004D40AF"/>
    <w:rsid w:val="004D75DB"/>
    <w:rsid w:val="004E20F7"/>
    <w:rsid w:val="004E4C82"/>
    <w:rsid w:val="00514082"/>
    <w:rsid w:val="00546F50"/>
    <w:rsid w:val="005A7F2E"/>
    <w:rsid w:val="005F0050"/>
    <w:rsid w:val="00650365"/>
    <w:rsid w:val="00656EC9"/>
    <w:rsid w:val="006869AA"/>
    <w:rsid w:val="006A2881"/>
    <w:rsid w:val="006F6E58"/>
    <w:rsid w:val="007977DB"/>
    <w:rsid w:val="007D0B19"/>
    <w:rsid w:val="007F1569"/>
    <w:rsid w:val="008071DD"/>
    <w:rsid w:val="00830393"/>
    <w:rsid w:val="0087628B"/>
    <w:rsid w:val="00880D2A"/>
    <w:rsid w:val="008942D7"/>
    <w:rsid w:val="008B020B"/>
    <w:rsid w:val="008D0973"/>
    <w:rsid w:val="008E24AC"/>
    <w:rsid w:val="009115D2"/>
    <w:rsid w:val="00963046"/>
    <w:rsid w:val="00973B0F"/>
    <w:rsid w:val="009C6367"/>
    <w:rsid w:val="009D2362"/>
    <w:rsid w:val="00A07702"/>
    <w:rsid w:val="00A14E1B"/>
    <w:rsid w:val="00A1792E"/>
    <w:rsid w:val="00A4387D"/>
    <w:rsid w:val="00A9440B"/>
    <w:rsid w:val="00AA39F7"/>
    <w:rsid w:val="00AB47E8"/>
    <w:rsid w:val="00AB7D25"/>
    <w:rsid w:val="00AE74EA"/>
    <w:rsid w:val="00B1751F"/>
    <w:rsid w:val="00B23BB0"/>
    <w:rsid w:val="00B32BBD"/>
    <w:rsid w:val="00B33530"/>
    <w:rsid w:val="00B42BF6"/>
    <w:rsid w:val="00B72DAB"/>
    <w:rsid w:val="00B8266F"/>
    <w:rsid w:val="00BC49C2"/>
    <w:rsid w:val="00C64A89"/>
    <w:rsid w:val="00D078EA"/>
    <w:rsid w:val="00D8509E"/>
    <w:rsid w:val="00DB3F0F"/>
    <w:rsid w:val="00DC1ECC"/>
    <w:rsid w:val="00E00F56"/>
    <w:rsid w:val="00E32D25"/>
    <w:rsid w:val="00E35C82"/>
    <w:rsid w:val="00E440E9"/>
    <w:rsid w:val="00E63C14"/>
    <w:rsid w:val="00EA5B4B"/>
    <w:rsid w:val="00EC79E8"/>
    <w:rsid w:val="00F7278D"/>
    <w:rsid w:val="00F823D3"/>
    <w:rsid w:val="00F95B73"/>
    <w:rsid w:val="00FA7BBF"/>
    <w:rsid w:val="00FD514A"/>
    <w:rsid w:val="00FD7D17"/>
    <w:rsid w:val="00FE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4996B"/>
  <w15:chartTrackingRefBased/>
  <w15:docId w15:val="{D9CEC3E7-96F3-4659-88B0-BB9A692E0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aramond" w:eastAsiaTheme="minorHAnsi" w:hAnsi="Garamond"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D25"/>
    <w:rPr>
      <w:rFonts w:ascii="Times New Roman" w:eastAsia="Myriad Pr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32D25"/>
    <w:rPr>
      <w:color w:val="0000FF"/>
      <w:u w:val="single"/>
    </w:rPr>
  </w:style>
  <w:style w:type="paragraph" w:styleId="NormalWeb">
    <w:name w:val="Normal (Web)"/>
    <w:basedOn w:val="Normal"/>
    <w:uiPriority w:val="99"/>
    <w:semiHidden/>
    <w:unhideWhenUsed/>
    <w:rsid w:val="00E32D25"/>
    <w:pPr>
      <w:spacing w:before="100" w:beforeAutospacing="1" w:after="100" w:afterAutospacing="1"/>
    </w:pPr>
    <w:rPr>
      <w:rFonts w:ascii="Calibri" w:eastAsiaTheme="minorHAnsi" w:hAnsi="Calibri" w:cs="Calibri"/>
      <w:sz w:val="22"/>
      <w:szCs w:val="22"/>
    </w:rPr>
  </w:style>
  <w:style w:type="table" w:styleId="TableGrid">
    <w:name w:val="Table Grid"/>
    <w:basedOn w:val="TableNormal"/>
    <w:uiPriority w:val="59"/>
    <w:rsid w:val="00E32D25"/>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E32D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685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bvbgroupbaird.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hyperlink" Target="https://baird.cventevents.com/taxplanning2020" TargetMode="External"/><Relationship Id="rId10" Type="http://schemas.openxmlformats.org/officeDocument/2006/relationships/hyperlink" Target="http://www.rwbaird.com/" TargetMode="External"/><Relationship Id="rId4" Type="http://schemas.openxmlformats.org/officeDocument/2006/relationships/image" Target="media/image1.jpeg"/><Relationship Id="rId9" Type="http://schemas.openxmlformats.org/officeDocument/2006/relationships/image" Target="media/image4.jpeg"/></Relationships>
</file>

<file path=word/theme/theme1.xml><?xml version="1.0" encoding="utf-8"?>
<a:theme xmlns:a="http://schemas.openxmlformats.org/drawingml/2006/main" name="Baird On Screen (Standard)">
  <a:themeElements>
    <a:clrScheme name="Baird Standard">
      <a:dk1>
        <a:srgbClr val="000000"/>
      </a:dk1>
      <a:lt1>
        <a:srgbClr val="FFFFFF"/>
      </a:lt1>
      <a:dk2>
        <a:srgbClr val="57584F"/>
      </a:dk2>
      <a:lt2>
        <a:srgbClr val="FFFFFF"/>
      </a:lt2>
      <a:accent1>
        <a:srgbClr val="57584F"/>
      </a:accent1>
      <a:accent2>
        <a:srgbClr val="3CB6CE"/>
      </a:accent2>
      <a:accent3>
        <a:srgbClr val="C7D1C5"/>
      </a:accent3>
      <a:accent4>
        <a:srgbClr val="DD4814"/>
      </a:accent4>
      <a:accent5>
        <a:srgbClr val="DBCEAC"/>
      </a:accent5>
      <a:accent6>
        <a:srgbClr val="22505F"/>
      </a:accent6>
      <a:hlink>
        <a:srgbClr val="006890"/>
      </a:hlink>
      <a:folHlink>
        <a:srgbClr val="22505F"/>
      </a:folHlink>
    </a:clrScheme>
    <a:fontScheme name="Baird Preferred">
      <a:majorFont>
        <a:latin typeface="Garamond"/>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Boeldt, Janelle</dc:creator>
  <cp:keywords/>
  <dc:description/>
  <cp:lastModifiedBy>Boeldt, Janelle</cp:lastModifiedBy>
  <cp:revision>1</cp:revision>
  <dcterms:created xsi:type="dcterms:W3CDTF">2020-10-20T14:41:00Z</dcterms:created>
  <dcterms:modified xsi:type="dcterms:W3CDTF">2020-10-20T14:44:00Z</dcterms:modified>
</cp:coreProperties>
</file>